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2024年度淮阴工学院单位预算公开</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eastAsia="仿宋" w:cs="仿宋"/>
          <w:b/>
        </w:rPr>
        <w:t>单位预算表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人才培养职能。着力建设“五育并举+大安全观”应用型人才培养体系，主动策应新工科、新农科、新文科建设和“卓越人才培养计划2.0”要求，创新人才培养模式，培养高素质应用型人才。不断彰显周恩来精神风范育人特色，促进学生德智体美劳全面发展。</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科学研究职能。坚持“四个面向”，聚焦科技创新和决策咨询提质增效，强化应用研究，推进科教融合，大力提升科技创新能力和服务水平。围绕科技前沿和地方产业发展需求，加强与高水平大学、科研院所、行业骨干企业协同合作，打造引领区域产业发展的科技创新平台。</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社会服务职能。深化校城融合，聚焦地方产业，优化整合创新要素，推进学科专业设置与产业需求精准对接，加快推进成果转化与技术转移，不断拓展服务深度与广度，不断提升服务区域产业发展贡献度。加强继续教育和教育培训体系建设，打造特色品牌培训项目。</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文化传承创新职能。严守意识形态阵地，大力弘扬社会主义先进文化，繁荣校园文化活动，增强学校文化软实力和核心竞争力。实施中华优秀传统文化浸润工程，传承弘扬优秀地域文化、红色文化，践行“明德尚学、自强不息”淮工精神。</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（五）国际交流合作职能。坚持开放办学，进一步提高对外合作交流的层次和水平，主动服务“一带一路”建设，不断提升办学的国际化水平，不断扩大“留学淮工”品牌影响力。</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rPr>
        <w:t>本单位内设机构包括：根据单位职责分工，本单位内设机构包括：党政办公室；党委组织部、党委统战部；党委宣传部；纪委机关、巡察办；机关党委；党委教师工作部、人事处；党委研究生工作部、研究生处；党委学生工作部、学生工作处、人民武装部；党委保卫部、保卫处；发展规划处；教务处；教学质量监控与评估处；科学技术处、技术转移中心；社会科学处、苏北发展研究院；计划财务处；招生就业处；国际合作交流处、港澳台事务办公室；国有资产与实验室管理处；审计处；信息化建设与管理处、信息化技术中心；对外联络与合作处；后勤管理处；基建处；离退休党工委、离退休工作处；萧湖校区管理委员会、大学生创新创业基地管理委员会；工会；团委；继续教育学院；高等教育研究所、学报编辑部；图书馆；工程训练中心；饮食服务总公司。本单位无下属单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eastAsia="仿宋" w:cs="仿宋"/>
          <w:b/>
        </w:rPr>
        <w:t>单位主要工作任务及目标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1.坚持一体建设，统筹推进学科专业发展</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统筹实施学科建设“246X”提质工程和品牌专业建设工程。认真做好“十四五”省重点学科建设工作；深入实施硕士点拓展工程，确保硕士学位授权点增至10个以上。以一流专业和专业认证为抓手，全力打造“12N”（10个国家级、20个省级、N个校级）三级一流（品牌）专业体系，着力提升专业内涵建设水平；做好工程教育专业认证工作，确保1-2个专业通过、力争1个专业进入专家现场考查，力争再新增受理专业2个；获批国家国家级“金课”1-2门、国家教学成果奖1项以上。</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2.坚持高质量导向，切实增强科技创新和社会服务</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深入推进“一流科技服务”实施计划，全面提升科技创新能力。获批省级科研平台1-2个；推进国家基金项目可持续增长，省部级项目稳步增长；授权发明专利240项以上，专利转化经费达1500万以上；深入实施发表高水平论文300篇以上；力争获评省级以上科研成果奖4项以上，实现国家级科技奖的新突破；坚持“跨江发展、向南图强”，着力打造校城融合“1111”工程升级版，积极拓展服务区域，提升服务质量，不断提升学校服务区域高质量发展融合度、贡献度。</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3.坚持党管人才，实施人才队伍“1357”卓越工程</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深入实施人才队伍建设“1357”卓越工程，聚焦学校主干学科引进国家级领军人才5人以上；引培博士80人以上，具有一年以上海外背景优秀博士不少于10人；获批国家、省级优秀人才项目20人左右；获批省优秀教学团队或省科技创新团队1个以上。</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4.坚持立德树人，全面提升人才培养质量</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深入推进“一流学生培养”实施计划，以现代产业学院建设为契机，深化产教融合、科教融合，完善协同育人机制，深化本科生、研究生、留学生培养模式改革创新。深化创新创业教育改革，着力加强实践创新能力培养，学生获得省级以上学科竞赛奖奖2400人次以上，其中“互联网+”“挑战杯”等重要赛事国家级奖项各1项以上，全国大学生数学建模竞赛一等奖1项以上；学校进入全国普通高校学科竞赛排行榜300强；考研录取率力争突破26%，毕业生就业率保持在96%以上。</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5.坚持开放办学，持续优化对外合作交流质效</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深入推进“一流境外合作”实施计划，加强中欧运河文化研究交流中心、国家级海峡两岸青年就业创业示范点和“留学淮工”品牌建设，不断提升境外合作交流层次与水平。获批中外合作办学项目或机构1项；新增境外高水平友好院校10所以上；新增境外联合培养研究生项目1-2项，持续推进境外共建课程建设。</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淮阴工学院</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color w:val="000000"/>
                <w:sz w:val="22"/>
                <w:szCs w:val="22"/>
                <w:lang w:eastAsia="ar-SA"/>
              </w:rPr>
              <w:t>淮阴工学院</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41,950.34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16,000.00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12,000.00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en-US" w:eastAsia="ar-SA" w:bidi="zh-CN"/>
              </w:rPr>
              <w:t>6</w:t>
            </w:r>
            <w:r>
              <w:rPr>
                <w:rFonts w:hint="eastAsia" w:ascii="仿宋" w:hAnsi="仿宋" w:eastAsia="仿宋" w:cs="仿宋"/>
                <w:color w:val="000000"/>
                <w:kern w:val="0"/>
                <w:sz w:val="22"/>
                <w:szCs w:val="22"/>
                <w:lang w:val="zh-CN" w:eastAsia="ar-SA" w:bidi="zh-CN"/>
              </w:rPr>
              <w:t>3,</w:t>
            </w:r>
            <w:r>
              <w:rPr>
                <w:rFonts w:hint="eastAsia" w:ascii="仿宋" w:hAnsi="仿宋" w:eastAsia="仿宋" w:cs="仿宋"/>
                <w:color w:val="000000"/>
                <w:kern w:val="0"/>
                <w:sz w:val="22"/>
                <w:szCs w:val="22"/>
                <w:lang w:val="en-US" w:eastAsia="ar-SA" w:bidi="zh-CN"/>
              </w:rPr>
              <w:t>14</w:t>
            </w:r>
            <w:r>
              <w:rPr>
                <w:rFonts w:hint="eastAsia" w:ascii="仿宋" w:hAnsi="仿宋" w:eastAsia="仿宋" w:cs="仿宋"/>
                <w:color w:val="000000"/>
                <w:kern w:val="0"/>
                <w:sz w:val="22"/>
                <w:szCs w:val="22"/>
                <w:lang w:val="zh-CN" w:eastAsia="ar-SA" w:bidi="zh-CN"/>
              </w:rPr>
              <w:t>3.13</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9,000.00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6,460.31</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3,030.00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12,371.90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81,980.34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81,980.34</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81,980.34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81,980.34</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淮阴工学院</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81,980.34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81,980.34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41,950.34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16,000.00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12,000.00</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9,000.00</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3,030.00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168049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淮阴工学院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81,980.34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81,980.34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41,950.34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16,000.00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12,000.00</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9,000.00</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3,030.00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淮阴工学院</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81,980.34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55,125.34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26,855.00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val="en-US" w:eastAsia="zh-CN"/>
              </w:rPr>
              <w:t>6</w:t>
            </w:r>
            <w:r>
              <w:rPr>
                <w:rFonts w:hint="eastAsia" w:ascii="仿宋" w:hAnsi="仿宋" w:eastAsia="仿宋" w:cs="仿宋"/>
                <w:sz w:val="22"/>
                <w:szCs w:val="22"/>
              </w:rPr>
              <w:t>3,</w:t>
            </w:r>
            <w:r>
              <w:rPr>
                <w:rFonts w:hint="eastAsia" w:ascii="仿宋" w:hAnsi="仿宋" w:eastAsia="仿宋" w:cs="仿宋"/>
                <w:sz w:val="22"/>
                <w:szCs w:val="22"/>
                <w:lang w:val="en-US" w:eastAsia="zh-CN"/>
              </w:rPr>
              <w:t>143</w:t>
            </w:r>
            <w:r>
              <w:rPr>
                <w:rFonts w:hint="eastAsia" w:ascii="仿宋" w:hAnsi="仿宋" w:eastAsia="仿宋" w:cs="仿宋"/>
                <w:sz w:val="22"/>
                <w:szCs w:val="22"/>
              </w:rPr>
              <w:t>.13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36,293.13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17,670.00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val="en-US" w:eastAsia="zh-CN"/>
              </w:rPr>
              <w:t>6</w:t>
            </w:r>
            <w:r>
              <w:rPr>
                <w:rFonts w:hint="eastAsia" w:ascii="仿宋" w:hAnsi="仿宋" w:eastAsia="仿宋" w:cs="仿宋"/>
                <w:sz w:val="22"/>
                <w:szCs w:val="22"/>
              </w:rPr>
              <w:t>3,</w:t>
            </w:r>
            <w:r>
              <w:rPr>
                <w:rFonts w:hint="eastAsia" w:ascii="仿宋" w:hAnsi="仿宋" w:eastAsia="仿宋" w:cs="仿宋"/>
                <w:sz w:val="22"/>
                <w:szCs w:val="22"/>
                <w:lang w:val="en-US" w:eastAsia="zh-CN"/>
              </w:rPr>
              <w:t>143</w:t>
            </w:r>
            <w:r>
              <w:rPr>
                <w:rFonts w:hint="eastAsia" w:ascii="仿宋" w:hAnsi="仿宋" w:eastAsia="仿宋" w:cs="仿宋"/>
                <w:sz w:val="22"/>
                <w:szCs w:val="22"/>
              </w:rPr>
              <w:t>.13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36,293.13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17,670.00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高等教育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val="en-US" w:eastAsia="zh-CN"/>
              </w:rPr>
              <w:t>6</w:t>
            </w:r>
            <w:r>
              <w:rPr>
                <w:rFonts w:hint="eastAsia" w:ascii="仿宋" w:hAnsi="仿宋" w:eastAsia="仿宋" w:cs="仿宋"/>
                <w:sz w:val="22"/>
                <w:szCs w:val="22"/>
              </w:rPr>
              <w:t>3,</w:t>
            </w:r>
            <w:r>
              <w:rPr>
                <w:rFonts w:hint="eastAsia" w:ascii="仿宋" w:hAnsi="仿宋" w:eastAsia="仿宋" w:cs="仿宋"/>
                <w:sz w:val="22"/>
                <w:szCs w:val="22"/>
                <w:lang w:val="en-US" w:eastAsia="zh-CN"/>
              </w:rPr>
              <w:t>143</w:t>
            </w:r>
            <w:r>
              <w:rPr>
                <w:rFonts w:hint="eastAsia" w:ascii="仿宋" w:hAnsi="仿宋" w:eastAsia="仿宋" w:cs="仿宋"/>
                <w:sz w:val="22"/>
                <w:szCs w:val="22"/>
              </w:rPr>
              <w:t>.13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36,293.13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17,670.00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6,460.31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6,460.31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6,460.31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6,460.31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4,286.57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4,286.57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2,143.29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2,143.29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中医药事务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2101704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中医（民族医）药专项</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12,371.90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12,371.90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12,371.90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12,371.90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3,578.60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3,578.60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8,793.30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8,793.30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9,180.00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sz w:val="22"/>
                <w:szCs w:val="22"/>
              </w:rPr>
              <w:t>淮阴工学院</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41,950.34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41,950.34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41,950.34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34,442.98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6,460.31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1,042.05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41,950.34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41,950.34</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淮阴工学院</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41,950.34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35,375.34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33,055.84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2,319.50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6,575.00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34,442.98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27,872.98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25,553.48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2,319.50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6,570.00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34,442.98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27,872.98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25,553.48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2,319.50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6,570.00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高等教育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34,442.98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27,872.98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25,553.48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2,319.50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6,570.00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6,460.31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6,460.31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6,460.31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6,460.31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6,460.31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6,460.31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4,286.57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4,286.57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4,286.57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2,143.29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2,143.29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2,143.29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中医药事务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2101704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中医（民族医）药专项</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1,042.05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1,042.05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1,042.05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1,042.05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1,042.05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1,042.05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1,042.05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1,042.05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1,042.05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sz w:val="22"/>
                <w:szCs w:val="22"/>
              </w:rPr>
              <w:t>淮阴工学院</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35,375.34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33,055.84</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2,319.50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31,979.30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31,979.30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8,135.06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8,135.06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943.96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943.96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14,516.15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14,516.15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4,286.57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4,286.57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2,143.29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2,143.29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1,954.27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1,954.27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2,319.50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2,319.50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1,076.54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1,076.54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1,045.89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1,045.89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淮阴工学院</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41,950.34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35,375.34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33,055.84</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2,319.50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34,442.98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27,872.98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25,553.48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2,319.50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34,442.98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27,872.98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25,553.48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2,319.50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高等教育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34,442.98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27,872.98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25,553.48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2,319.50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6,460.31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6,460.31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6,460.31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6,460.31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6,460.31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6,460.31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4,286.57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4,286.57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4,286.57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2,143.29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2,143.29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2,143.29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中医药事务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2101704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中医（民族医）药专项</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淮阴工学院</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35,375.34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33,055.84</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2,319.50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31,979.30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31,979.30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8,135.06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8,135.06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943.96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943.96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14,516.15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14,516.15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4,286.57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4,286.57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2,143.29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2,143.29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1,954.27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1,954.27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2,319.50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2,319.50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1,076.54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1,076.54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1,045.89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1,045.89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淮阴工学院</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淮阴工学院</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单位无政府性基金预算，也没有使用政府性基金安排的支出，故本表无数据。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淮阴工学院</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淮阴工学院</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rPr>
        <w:t>单位无一般公共预算机关运行经费支出，故本表无数据。</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淮阴工学院</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淮阴工学院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组合家具</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r>
    </w:tbl>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eastAsia="仿宋" w:cs="仿宋"/>
          <w:b/>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淮阴工学院2024年度收入、支出预算总计81,980.34万元，与上年相比收、支预算总计各增加13.08万元，增长0.02%。其中：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（一）收入预算总计81,980.34万元。包括：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1．本年收入合计81,980.34万元。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（1）一般公共预算拨款收入41,950.34万元，与上年相比增加2,983.08万元，增长7.66%。主要原因是招生人数增加。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（4）财政专户管理资金收入16,000万元，与上年预算数相同。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（5）事业收入12,000万元，与上年相比增加12,000万元（去年预算数为0万元，无法计算增减比率）。主要原因是本年将科研项目收入从其他收入转入事业收入。</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（6）事业单位经营收入9,000万元，与上年预算数相同。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（9）其他收入3,030万元，与上年相比减少14,970万元，减少83.17%。主要原因是本年将科研项目收入从其他收入转入事业收入。</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（二）支出预算总计81,980.34万元。包括：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1．本年支出合计81,980.34万元。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（1）教育支出（类）支出</w:t>
      </w:r>
      <w:r>
        <w:rPr>
          <w:rFonts w:hint="eastAsia" w:ascii="仿宋" w:hAnsi="仿宋" w:eastAsia="仿宋" w:cs="仿宋"/>
          <w:lang w:val="en-US" w:eastAsia="zh-CN"/>
        </w:rPr>
        <w:t>6</w:t>
      </w:r>
      <w:r>
        <w:rPr>
          <w:rFonts w:ascii="仿宋" w:hAnsi="仿宋" w:eastAsia="仿宋" w:cs="仿宋"/>
        </w:rPr>
        <w:t>3,</w:t>
      </w:r>
      <w:r>
        <w:rPr>
          <w:rFonts w:hint="eastAsia" w:ascii="仿宋" w:hAnsi="仿宋" w:eastAsia="仿宋" w:cs="仿宋"/>
          <w:lang w:val="en-US" w:eastAsia="zh-CN"/>
        </w:rPr>
        <w:t>14</w:t>
      </w:r>
      <w:r>
        <w:rPr>
          <w:rFonts w:ascii="仿宋" w:hAnsi="仿宋" w:eastAsia="仿宋" w:cs="仿宋"/>
        </w:rPr>
        <w:t>3.13万元，主要用于学校教育教学支出。与上年相比减少</w:t>
      </w:r>
      <w:r>
        <w:rPr>
          <w:rFonts w:hint="eastAsia" w:ascii="仿宋" w:hAnsi="仿宋" w:eastAsia="仿宋" w:cs="仿宋"/>
          <w:lang w:val="en-US" w:eastAsia="zh-CN"/>
        </w:rPr>
        <w:t>2</w:t>
      </w:r>
      <w:r>
        <w:rPr>
          <w:rFonts w:ascii="仿宋" w:hAnsi="仿宋" w:eastAsia="仿宋" w:cs="仿宋"/>
        </w:rPr>
        <w:t>,</w:t>
      </w:r>
      <w:r>
        <w:rPr>
          <w:rFonts w:hint="eastAsia" w:ascii="仿宋" w:hAnsi="仿宋" w:eastAsia="仿宋" w:cs="仿宋"/>
          <w:lang w:val="en-US" w:eastAsia="zh-CN"/>
        </w:rPr>
        <w:t>57</w:t>
      </w:r>
      <w:r>
        <w:rPr>
          <w:rFonts w:ascii="仿宋" w:hAnsi="仿宋" w:eastAsia="仿宋" w:cs="仿宋"/>
        </w:rPr>
        <w:t>9.07万元，减少</w:t>
      </w:r>
      <w:r>
        <w:rPr>
          <w:rFonts w:hint="eastAsia" w:ascii="仿宋" w:hAnsi="仿宋" w:eastAsia="仿宋" w:cs="仿宋"/>
          <w:lang w:val="en-US" w:eastAsia="zh-CN"/>
        </w:rPr>
        <w:t>3</w:t>
      </w:r>
      <w:r>
        <w:rPr>
          <w:rFonts w:ascii="仿宋" w:hAnsi="仿宋" w:eastAsia="仿宋" w:cs="仿宋"/>
        </w:rPr>
        <w:t>.</w:t>
      </w:r>
      <w:r>
        <w:rPr>
          <w:rFonts w:hint="eastAsia" w:ascii="仿宋" w:hAnsi="仿宋" w:eastAsia="仿宋" w:cs="仿宋"/>
          <w:lang w:val="en-US" w:eastAsia="zh-CN"/>
        </w:rPr>
        <w:t>92</w:t>
      </w:r>
      <w:r>
        <w:rPr>
          <w:rFonts w:ascii="仿宋" w:hAnsi="仿宋" w:eastAsia="仿宋" w:cs="仿宋"/>
        </w:rPr>
        <w:t>%。主要原因是本年压缩了公用经费。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（2）社会保障和就业支出（类）支出6,460.31万元，主要用于基本养老保险和职业年金等。与上年相比增加1,526.96万元，增长30.95%。主要原因是在职人员增加。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卫生健康支出（类）支出5万元，主要用于江苏省中医药事业发展专项资金。与上年相比减少5万元，减少50%。主要原因是本年新增江苏省中医药事业发展专项资金拨款比云年中医药（款）中医（民族医）药专项（项）资金少5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w:t>
      </w:r>
      <w:r>
        <w:rPr>
          <w:rFonts w:hint="eastAsia" w:ascii="仿宋" w:hAnsi="仿宋" w:eastAsia="仿宋" w:cs="仿宋"/>
          <w:lang w:val="en-US" w:eastAsia="zh-CN"/>
        </w:rPr>
        <w:t>4</w:t>
      </w:r>
      <w:r>
        <w:rPr>
          <w:rFonts w:ascii="仿宋" w:hAnsi="仿宋" w:eastAsia="仿宋" w:cs="仿宋"/>
        </w:rPr>
        <w:t>）住房保障支出（类）支出12,371.9万元，主要用于提租补贴、住房公积金。与上年相比增加1,070.19万元，增长9.47%。主要原因是人员增加，工资增长，住房公积金实行例行调整。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淮阴工学院2024年收入预算合计81,980.34万元，包括本年收入81,980.34万元，上年结转结余0万元。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本年一般公共预算收入41,950.34万元，占51.17%；</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本年财政专户管理资金16,000万元，占19.52%；</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本年事业收入12,000万元，占14.64%；</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本年事业单位经营收入9,000万元，占10.98%；</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本年其他收入3,030万元，占3.69%；</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淮阴工学院2024年支出预算合计81,980.34万元，其中：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基本支出55,125.34万元，占67.24%；</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项目支出26,855万元，占32.76%；</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淮阴工学院2024年度财政拨款收、支总预算41,950.34万元。与上年相比，财政拨款收、支总计各增加2,983.08万元，增长7.66%。主要原因是招生人数增加、人员增加，房补和公积金例行调整。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eastAsia="zh-CN"/>
        </w:rPr>
      </w:pPr>
      <w:r>
        <w:rPr>
          <w:rFonts w:ascii="仿宋" w:hAnsi="仿宋" w:eastAsia="仿宋" w:cs="仿宋"/>
        </w:rPr>
        <w:t>淮阴工学院2024年财政拨款预算支出41,950.34万元，占本年支出合计的51.17%。与上年相比，财政拨款支出增加2,983.08万元，增长7.66%。主要原因是人员增加</w:t>
      </w:r>
      <w:r>
        <w:rPr>
          <w:rFonts w:hint="eastAsia" w:ascii="仿宋" w:hAnsi="仿宋" w:eastAsia="仿宋" w:cs="仿宋"/>
          <w:lang w:eastAsia="zh-CN"/>
        </w:rPr>
        <w:t>。</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（一）教育支出（类）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普通教育（款）高等教育（项）支出34,442.98万元，与上年相比增加1,395.94万元，增长4.22%。主要原因是教学经费支出增加。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（二）社会保障和就业支出（类）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1.行政事业单位养老支出（款）机关事业单位基本养老保险缴费支出（项）支出4,286.57万元，与上年相比增加997.67万元，增长30.33%。主要原因是人员增加。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2.行政事业单位养老支出（款）机关事业单位职业年金缴费支出（项）支出2,143.29万元，与上年相比增加498.84万元，增长30.33%。主要原因是人员增加。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3.行政事业单位养老支出（款）其他行政事业单位养老支出（项）支出30.45万元，与上年相比增加30.45万元（去年预算数为0万元，无法计算增减比率）。主要原因是人员增加。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（三）卫生健康支出（类）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1.中医药（款）中医（民族医）药专项（项）支出0万元，与上年相比减少10万元，减少100%。主要原因是中医药（款）中医（民族医）药专项（项）支出本年无拨款。</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中医药事务（款）中医（民族医）药专项（项）支出5万元，与上年相比增加5万元（去年预算数为0万元，无法计算增减比率）。主要原因是本年新增江苏省中医药事业发展专项资金拨款比云年中医药（款）中医（民族医）药专项（项）资金少5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（四）住房保障支出（类）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住房改革支出（款）提租补贴（项）支出1,042.05万元，与上年相比增加65.18万元，增长6.67%。主要原因是人员增加，住房公积金实行例行调整。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淮阴工学院2024年度财政拨款基本支出预算35,375.34万元，其中：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（一）人员经费33,055.84万元。主要包括：基本工资、津贴补贴、绩效工资、机关事业单位基本养老保险缴费、职业年金缴费、其他社会保障缴费、离休费、退休费、医疗费补助。</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（二）公用经费2,319.5万元。主要包括：咨询费、水费、电费、维修（护）费、公务接待费、专用材料费、工会经费、福利费。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highlight w:val="yellow"/>
          <w:lang w:val="en-US" w:eastAsia="zh-CN"/>
        </w:rPr>
      </w:pPr>
      <w:r>
        <w:rPr>
          <w:rFonts w:ascii="仿宋" w:hAnsi="仿宋" w:eastAsia="仿宋" w:cs="仿宋"/>
        </w:rPr>
        <w:t>淮阴工学院2024年一般公共预算财政拨款支出预算41,950.34万元，与上年相比增加2,983.08万元，增长7.66%。主要原因是人员增加</w:t>
      </w:r>
      <w:r>
        <w:rPr>
          <w:rFonts w:hint="eastAsia" w:ascii="仿宋" w:hAnsi="仿宋" w:eastAsia="仿宋" w:cs="仿宋"/>
          <w:lang w:eastAsia="zh-CN"/>
        </w:rPr>
        <w:t>。</w:t>
      </w:r>
      <w:bookmarkStart w:id="0" w:name="_GoBack"/>
      <w:bookmarkEnd w:id="0"/>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淮阴工学院2024年度一般公共预算财政拨款基本支出预算35,375.34万元，其中：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（一）人员经费33,055.84万元。主要包括：基本工资、津贴补贴、绩效工资、机关事业单位基本养老保险缴费、职业年金缴费、其他社会保障缴费、离休费、退休费、医疗费补助。</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（二）公用经费2,319.5万元。主要包括：咨询费、水费、电费、维修（护）费、公务接待费、专用材料费、工会经费、福利费。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阴工学院2024年度一般公共预算拨款安排的“三公”经费支出预算119.5万元，与上年预算数相同。其中，因公出国（境）费支出0万元，占“三公”经费的0%；公务用车购置及运行维护费支出0万元，占“三公”经费的0%；公务接待费支出119.5万元，占“三公”经费的100%。具体情况如下：</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2．公务用车购置及运行维护费预算支出0万元。其中：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3．公务接待费预算支出119.5万元，与上年预算数相同。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淮阴工学院2024年度一般公共预算拨款安排的会议费预算支出0万元，与上年预算数相同。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淮阴工学院2024年度一般公共预算拨款安排的培训费预算支出0万元，与上年预算数相同。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淮阴工学院2024年政府性基金支出预算支出0万元。与上年预算数相同。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淮阴工学院2024年国有资本经营预算支出0万元。与上年预算数相同。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2024年本单位一般公共预算机关运行经费预算支出0万元，与上年预算数相同。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2024年度政府采购支出预算总额200万元，其中：拟采购货物支出200万元、拟采购工程支出0万元、拟采购服务支出0万元。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单位共有车辆12辆，其中，副部（省）级及以上领导用车0辆、主要领导干部用车2辆、机要通信用车1辆、应急保障用车1辆、执法执勤用车0辆、特种专业技术用车0辆、离退休干部用车0辆，其他用车8辆；单价100万元（含）以上的设备18台（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2024年度，本单位整体支出纳入绩效目标管理，涉及财政性资金41,950.34万元；本单位共13个项目纳入绩效目标管理，涉及财政性资金合计6,575万元，占财政性资金(人员类和运转类中的公用经费项目支出除外)总额的比例为100%。</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八、教育支出(类)普通教育(款)高等教育(项)</w:t>
      </w:r>
      <w:r>
        <w:rPr>
          <w:rFonts w:ascii="仿宋" w:hAnsi="仿宋" w:eastAsia="仿宋" w:cs="仿宋"/>
          <w:b/>
        </w:rPr>
        <w:t>：</w:t>
      </w:r>
      <w:r>
        <w:rPr>
          <w:rFonts w:hint="eastAsia" w:ascii="仿宋" w:hAnsi="仿宋" w:eastAsia="仿宋" w:cs="仿宋"/>
        </w:rPr>
        <w:t>反映各部门举办的普通本科（包括研究生）教育支出。政府各部门对社会组织等举办的普通本科高等院校（包括研究生）的资助，如捐赠、补贴等，也在本科目中反映。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十一、社会保障和就业支出(类)行政事业单位养老支出(款)其他行政事业单位养老支出(项)</w:t>
      </w:r>
      <w:r>
        <w:rPr>
          <w:rFonts w:ascii="仿宋" w:hAnsi="仿宋" w:eastAsia="仿宋" w:cs="仿宋"/>
          <w:b/>
        </w:rPr>
        <w:t>：</w:t>
      </w:r>
      <w:r>
        <w:rPr>
          <w:rFonts w:hint="eastAsia" w:ascii="仿宋" w:hAnsi="仿宋" w:eastAsia="仿宋" w:cs="仿宋"/>
        </w:rPr>
        <w:t>反映除上述项目以外其他用于行政事业单位养老方面的支出。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十二、卫生健康支出(类)中医药事务(款)中医（民族医）药专项(项)</w:t>
      </w:r>
      <w:r>
        <w:rPr>
          <w:rFonts w:ascii="仿宋" w:hAnsi="仿宋" w:eastAsia="仿宋" w:cs="仿宋"/>
          <w:b/>
        </w:rPr>
        <w:t>：</w:t>
      </w:r>
      <w:r>
        <w:rPr>
          <w:rFonts w:hint="eastAsia" w:ascii="仿宋" w:hAnsi="仿宋" w:eastAsia="仿宋" w:cs="仿宋"/>
        </w:rPr>
        <w:t>反映中医（民族医）药方面的专项支出。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十三、援助其他地区支出(类)其他支出(款)</w:t>
      </w:r>
      <w:r>
        <w:rPr>
          <w:rFonts w:ascii="仿宋" w:hAnsi="仿宋" w:eastAsia="仿宋" w:cs="仿宋"/>
          <w:b/>
        </w:rPr>
        <w:t>：</w:t>
      </w:r>
      <w:r>
        <w:rPr>
          <w:rFonts w:hint="eastAsia" w:ascii="仿宋" w:hAnsi="仿宋" w:eastAsia="仿宋" w:cs="仿宋"/>
        </w:rPr>
        <w:t>反映援助其他地区资金中除上述项目以外的其他支出。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淮阴工学院</w:t>
    </w:r>
    <w:r>
      <w:t>2024年度单位预算公开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YTI4YzA4YjUxNzc2MjhiOTM2YzA1NGIxYzUxZGE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26BE9"/>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B1E72"/>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7E2A76"/>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3C5D"/>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790932"/>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43151"/>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2539A8"/>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A451BA"/>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27B09"/>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2B4"/>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31E4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11BB9"/>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autoRedefine/>
    <w:qFormat/>
    <w:uiPriority w:val="1"/>
    <w:pPr>
      <w:ind w:left="-40" w:firstLine="0"/>
      <w:outlineLvl w:val="0"/>
    </w:pPr>
    <w:rPr>
      <w:sz w:val="52"/>
      <w:szCs w:val="52"/>
    </w:rPr>
  </w:style>
  <w:style w:type="paragraph" w:styleId="3">
    <w:name w:val="heading 2"/>
    <w:basedOn w:val="1"/>
    <w:next w:val="1"/>
    <w:autoRedefine/>
    <w:qFormat/>
    <w:uiPriority w:val="1"/>
    <w:pPr>
      <w:ind w:right="18" w:firstLine="0"/>
      <w:jc w:val="center"/>
      <w:outlineLvl w:val="1"/>
    </w:pPr>
    <w:rPr>
      <w:sz w:val="44"/>
      <w:szCs w:val="44"/>
    </w:rPr>
  </w:style>
  <w:style w:type="paragraph" w:styleId="4">
    <w:name w:val="heading 3"/>
    <w:basedOn w:val="1"/>
    <w:next w:val="1"/>
    <w:autoRedefine/>
    <w:qFormat/>
    <w:uiPriority w:val="1"/>
    <w:pPr>
      <w:ind w:left="1" w:firstLine="0"/>
      <w:jc w:val="center"/>
      <w:outlineLvl w:val="2"/>
    </w:pPr>
    <w:rPr>
      <w:sz w:val="40"/>
      <w:szCs w:val="40"/>
    </w:rPr>
  </w:style>
  <w:style w:type="paragraph" w:styleId="5">
    <w:name w:val="heading 4"/>
    <w:basedOn w:val="1"/>
    <w:next w:val="1"/>
    <w:autoRedefine/>
    <w:qFormat/>
    <w:uiPriority w:val="1"/>
    <w:pPr>
      <w:jc w:val="center"/>
      <w:outlineLvl w:val="3"/>
    </w:pPr>
    <w:rPr>
      <w:sz w:val="36"/>
      <w:szCs w:val="36"/>
    </w:rPr>
  </w:style>
  <w:style w:type="paragraph" w:styleId="6">
    <w:name w:val="heading 5"/>
    <w:basedOn w:val="1"/>
    <w:next w:val="1"/>
    <w:autoRedefine/>
    <w:qFormat/>
    <w:uiPriority w:val="1"/>
    <w:pPr>
      <w:ind w:left="112" w:firstLine="0"/>
      <w:outlineLvl w:val="4"/>
    </w:pPr>
    <w:rPr>
      <w:sz w:val="33"/>
      <w:szCs w:val="33"/>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7">
    <w:name w:val="caption"/>
    <w:basedOn w:val="1"/>
    <w:next w:val="1"/>
    <w:autoRedefine/>
    <w:qFormat/>
    <w:uiPriority w:val="0"/>
    <w:pPr>
      <w:suppressLineNumbers/>
      <w:spacing w:before="120" w:after="120"/>
    </w:pPr>
    <w:rPr>
      <w:i/>
      <w:iCs/>
      <w:sz w:val="24"/>
      <w:szCs w:val="24"/>
    </w:rPr>
  </w:style>
  <w:style w:type="paragraph" w:styleId="8">
    <w:name w:val="Body Text"/>
    <w:basedOn w:val="1"/>
    <w:autoRedefine/>
    <w:qFormat/>
    <w:uiPriority w:val="1"/>
    <w:rPr>
      <w:sz w:val="32"/>
      <w:szCs w:val="32"/>
    </w:rPr>
  </w:style>
  <w:style w:type="paragraph" w:styleId="9">
    <w:name w:val="footer"/>
    <w:basedOn w:val="1"/>
    <w:autoRedefine/>
    <w:qFormat/>
    <w:uiPriority w:val="0"/>
    <w:pPr>
      <w:tabs>
        <w:tab w:val="center" w:pos="4153"/>
        <w:tab w:val="right" w:pos="8306"/>
      </w:tabs>
      <w:snapToGrid w:val="0"/>
    </w:pPr>
    <w:rPr>
      <w:sz w:val="18"/>
      <w:szCs w:val="18"/>
    </w:rPr>
  </w:style>
  <w:style w:type="paragraph" w:styleId="10">
    <w:name w:val="header"/>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autoRedefine/>
    <w:qFormat/>
    <w:uiPriority w:val="0"/>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autoRedefine/>
    <w:qFormat/>
    <w:uiPriority w:val="0"/>
  </w:style>
  <w:style w:type="character" w:customStyle="1" w:styleId="16">
    <w:name w:val="页眉 字符"/>
    <w:basedOn w:val="14"/>
    <w:autoRedefine/>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autoRedefine/>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autoRedefine/>
    <w:qFormat/>
    <w:uiPriority w:val="0"/>
    <w:pPr>
      <w:keepNext/>
      <w:spacing w:before="240" w:after="120"/>
    </w:pPr>
    <w:rPr>
      <w:rFonts w:ascii="Liberation Sans" w:hAnsi="Liberation Sans"/>
      <w:sz w:val="28"/>
      <w:szCs w:val="28"/>
    </w:rPr>
  </w:style>
  <w:style w:type="paragraph" w:customStyle="1" w:styleId="19">
    <w:name w:val="索引"/>
    <w:basedOn w:val="1"/>
    <w:autoRedefine/>
    <w:qFormat/>
    <w:uiPriority w:val="0"/>
    <w:pPr>
      <w:suppressLineNumbers/>
    </w:pPr>
  </w:style>
  <w:style w:type="paragraph" w:customStyle="1" w:styleId="20">
    <w:name w:val="页眉与页脚"/>
    <w:basedOn w:val="1"/>
    <w:autoRedefine/>
    <w:qFormat/>
    <w:uiPriority w:val="0"/>
  </w:style>
  <w:style w:type="paragraph" w:customStyle="1" w:styleId="21">
    <w:name w:val="List Paragraph"/>
    <w:basedOn w:val="1"/>
    <w:autoRedefine/>
    <w:qFormat/>
    <w:uiPriority w:val="1"/>
    <w:pPr>
      <w:ind w:left="2039" w:hanging="782"/>
    </w:pPr>
  </w:style>
  <w:style w:type="paragraph" w:customStyle="1" w:styleId="22">
    <w:name w:val="Table Paragraph"/>
    <w:basedOn w:val="1"/>
    <w:autoRedefine/>
    <w:qFormat/>
    <w:uiPriority w:val="1"/>
    <w:rPr>
      <w:rFonts w:ascii="宋体" w:hAnsi="宋体" w:eastAsia="宋体" w:cs="宋体"/>
    </w:rPr>
  </w:style>
  <w:style w:type="paragraph" w:customStyle="1" w:styleId="23">
    <w:name w:val="表格内容"/>
    <w:basedOn w:val="1"/>
    <w:autoRedefine/>
    <w:qFormat/>
    <w:uiPriority w:val="0"/>
    <w:pPr>
      <w:suppressLineNumbers/>
    </w:pPr>
  </w:style>
  <w:style w:type="paragraph" w:customStyle="1" w:styleId="24">
    <w:name w:val="表格标题"/>
    <w:basedOn w:val="23"/>
    <w:autoRedefine/>
    <w:qFormat/>
    <w:uiPriority w:val="0"/>
    <w:pPr>
      <w:jc w:val="center"/>
    </w:pPr>
    <w:rPr>
      <w:b/>
      <w:bCs/>
    </w:rPr>
  </w:style>
  <w:style w:type="paragraph" w:customStyle="1" w:styleId="25">
    <w:name w:val="预格式化的文本"/>
    <w:basedOn w:val="1"/>
    <w:autoRedefine/>
    <w:qFormat/>
    <w:uiPriority w:val="0"/>
    <w:rPr>
      <w:rFonts w:ascii="Liberation Mono" w:hAnsi="Liberation Mono" w:eastAsia="新宋体" w:cs="Liberation Mono"/>
      <w:sz w:val="20"/>
      <w:szCs w:val="20"/>
    </w:rPr>
  </w:style>
  <w:style w:type="table" w:customStyle="1" w:styleId="26">
    <w:name w:val="Table Normal"/>
    <w:autoRedefine/>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22</TotalTime>
  <ScaleCrop>false</ScaleCrop>
  <LinksUpToDate>false</LinksUpToDate>
  <CharactersWithSpaces>6456</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shirley庄</cp:lastModifiedBy>
  <dcterms:modified xsi:type="dcterms:W3CDTF">2024-03-12T07:54:10Z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F6EEE50B19F149E9963E090E403C7D69_13</vt:lpwstr>
  </property>
  <property fmtid="{D5CDD505-2E9C-101B-9397-08002B2CF9AE}" pid="5" name="KSOProductBuildVer">
    <vt:lpwstr>2052-12.1.0.16388</vt:lpwstr>
  </property>
  <property fmtid="{D5CDD505-2E9C-101B-9397-08002B2CF9AE}" pid="6" name="LastSaved">
    <vt:filetime>2021-04-15T00:00:00Z</vt:filetime>
  </property>
</Properties>
</file>